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23.07.2026, 18:27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обратился к нефрологу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похудание,</w:t>
      </w:r>
    </w:p>
    <w:p>
      <w:pPr>
        <w:spacing w:after="58"/>
      </w:pPr>
      <w:r>
        <w:rPr>
          <w:b w:val="0"/>
          <w:i w:val="0"/>
        </w:rPr>
        <w:t>* субфебрильную температуру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Три месяца назад после переохлаждения появились слабость, повышение температуры тела до 38,0С. Проводимая амбулаторно по месту жительства антибактериальная терапия цефтриаксоном оказалась не эффективной. В общем анализе крови: анемия (гемоглобин 100 г/л), увеличение СОЭ до 50 мм/ч. Обследован гематологами, исключен парапротеинемический гемобластоз. Общий анализ мочи – следы белка. Госпитализирован в терапевтический стационар, где была проведена мультиспиральная компьютерная томография грудной клетки, выявлено симметричное увеличение лимфатических узлов корней лёгких и средостения и двусторонние очагово-интерстициальные изменения в лёгких. Исключен туберкулёз (отрицательные туберкулиновые пробы, посевы мокроты на БК). Отмечались отрицательные результаты микробиологических исследований мокроты и крови на инвазивные микозы. Диагностирован саркоидоз лёгких и внутригрудных лимфоузлов, назначен преднизолон в дозе 30 мг/сут, через 2 недели лечения отмечен положительный эффект. Через неделю после самостоятельной отмены преднизолона возобновился субфебрилитет, отмечалось повышение острофазовых показателей крови. При компьютерной томографии органов грудной клетки и брюшной полости сохраняются признаки активности саркоидоза. Впервые отмечено повышение креатинина сыворотки крови до 135 мкмоль/л, в связи с чем направлена на консультацию к нефрологу.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ОРВИ 1-2 раза в год, хронический гастродуоденит.</w:t>
      </w:r>
    </w:p>
    <w:p>
      <w:pPr>
        <w:spacing w:after="58"/>
      </w:pPr>
      <w:r>
        <w:rPr>
          <w:b w:val="0"/>
          <w:i w:val="0"/>
        </w:rPr>
        <w:t>* Вредных привычек не имеет.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178 см. Вес 76 кг, ИМТ 24 кг/м2. Температура тела 37,2°С. Кожные покровы обычной окраски, высыпаний нет. Периферические лимфоузлы не увеличены. При аускультации легких дыхание везикулярное с жестким оттенком, хрипов нет. ЧДД 18 в мин. Тоны сердца ясные, ритмичные, шумов нет. ЧСС 76 ударов в мин, ритмичный. АД 125/75 мм рт.ст. Печень не увеличена, размеры по Курлову 10-8-7 см. Живот мягкий, безболезненный при пальпации во всех отделах,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суточная экскреция кальция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двухстаканная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ортостатическая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крови; 2 — суточная экскреция кальция; 3 — биохимический анализ крови; 5 — общий анализ мочи</w:t>
      </w:r>
    </w:p>
    <w:p>
      <w:pPr>
        <w:ind w:left="504"/>
      </w:pPr>
      <w:r>
        <w:rPr>
          <w:b w:val="0"/>
          <w:i/>
        </w:rPr>
        <w:t>Для ХПН типична гипохромная анемия. Лейкоцитоз может наблюдаться при инфекциях мочевыводящих путей, часто он сочетается с увеличением скорости оседания эритроцитов (СОЭ).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Уровень кальция в крови и моче. Гиперкальциемия (5%) при саркоидозе рассматривается, как проявление активного саркоидоза. Гиперкальцийурия (25%) встречается гораздо чаще и является более точным методом выявления нарушения метаболизма кальция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Оценка функции почек включает в себя общий анализ мочи, определение креатинина, азота мочевины крови, клубочковой фильтрации.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Оценка функции почек включает в себя общий анализ мочи, определение креатинина, азота мочевины крови, клубочковой фильтрации.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амбулаторных условиях 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внутривенная 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динамическая 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биопсия слизистой 12-перстной кишки на амилоид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цистоскопия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ультразвуковое исследование мочевого пузыря; 3 — ультразвуковое исследование почек</w:t>
      </w:r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Оптимальным методом определения скорости клубочковой фильтрации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формула Дюбуа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формула 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формула Кокрофта-Голта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проба Реберга-Тареева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проба Реберга-Тареева</w:t>
      </w:r>
    </w:p>
    <w:p>
      <w:pPr>
        <w:ind w:left="504"/>
      </w:pPr>
      <w:r>
        <w:rPr>
          <w:b w:val="0"/>
          <w:i/>
        </w:rPr>
        <w:t>В повседневной практической деятельности (особенно амбулаторной) для оценки скорости клубочковой фильтрации (СКФ) удобен и широко используется расчетный метод (формула CKD-EPI) на основе эндогенного креатинина. Однако в ряде ситуаций использование расчетных методов оценки СКФ некорректно:</w:t>
        <w:br/>
        <w:br/>
        <w:t>* нестандартные размеры тела (пациенты с ампутацией конечностей, бодибилдеры)</w:t>
        <w:br/>
        <w:br/>
        <w:t>* выраженные истощение и ожирение</w:t>
        <w:br/>
        <w:br/>
        <w:t>* беременность</w:t>
        <w:br/>
        <w:br/>
        <w:t>* заболевания скелетной мускулатуры (миодистрофии)</w:t>
        <w:br/>
        <w:br/>
        <w:t>* параплегия и квадроплегия</w:t>
        <w:br/>
        <w:br/>
        <w:t>* строгая вегетарианская диета</w:t>
        <w:br/>
        <w:br/>
        <w:t>* быстрое снижение функции почек (острый и быстропрогрессирующий гломерулонефрит, острое почечное повреждение)</w:t>
        <w:br/>
        <w:br/>
        <w:t>* необходимость назначения токсичных препаратов, выводимых почками (например, химиотерапия) для определения их безопасной дозы</w:t>
        <w:br/>
        <w:br/>
        <w:t>* при решении вопроса о начале заместительной почечной терапии</w:t>
        <w:br/>
        <w:br/>
        <w:t>* больные с почечным трансплантатом</w:t>
        <w:br/>
        <w:br/>
        <w:t>В таких обстоятельствах необходимо, как минимум воспользоваться стандартным измерением клиренса эндогенного креатинина (проба Реберга-Тареева) или другими клиренсовыми методами.</w:t>
        <w:br/>
        <w:br/>
        <w:t>У пациента с острым повреждением почек целесообразно проведение пробы Реберга-Тареева.</w:t>
        <w:br/>
        <w:br/>
      </w:r>
      <w:hyperlink r:id="rId30">
        <w:r>
          <w:rPr>
            <w:color w:val="173C49"/>
            <w:u w:val="single"/>
          </w:rPr>
          <w:t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Ситуации, в которых использование расчетных методов оценки СКФ неприемлемо: быстрое снижение функции почек (острый и быстропрогрессирующий нефритические синдромы); перед назначением нефротоксичных препаратов;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таких обстоятельствах необходимо воспользоваться как минимум стандартным измерением клиренса эндогенного креатинина (проба Реберга-Тареева) или другими клиренсовыми методами (обычно плазматическими или почечными клиренсами комплексонов или рентгеновских контрастов).</w:t>
        <w:br/>
        <w:br/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Точное определение природы нефропатии возможно после проведения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протеомного анализа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пункционной биопсии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позитронно-эмиссионной томографии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мультиспиральной компьютерной томографии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пункционной биопсии почки</w:t>
      </w:r>
    </w:p>
    <w:p>
      <w:pPr>
        <w:ind w:left="504"/>
      </w:pPr>
      <w:r>
        <w:rPr>
          <w:b w:val="0"/>
          <w:i/>
        </w:rPr>
        <w:t>Значение биопсии почки непрерывно возрастает по мере увеличения возможностей исследования почечной ткани тонкими иммуногистохимическими и молекулярно-биологическими (селективным изучением тканевой экспрессии генов, медиаторов фиброгенеза и воспаления, вазоактивных молекул) методами, а также с помощью электронной микроскопии.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в стационаре проведена пункционная биопсия почек, выявившая при интактных клубочках наличие в интерстиции массивных лимфогистиоцитарных инфильтратов с формированием гигантоклеточных гранулем без казеоза, выраженную на значительном протяжении атрофию канальцев, при иммунногистохимическом исследовании не выявлено реакции с IgA, IgM, IgG, C3, моноклональными κappa, lambda цепями иммуноглобулинов, что свидетельствуют о развитии у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Гранулематозного тубулоинтерстициального 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Микрокист канальцев с интерстициальным фиброзом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Тубулоинтерстициального нефрита с нефрокальцинозом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Тубулоинтерстициальной лимфоидной инфильтрации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Гранулематозного тубулоинтерстициального нефрита</w:t>
      </w:r>
    </w:p>
    <w:p>
      <w:pPr>
        <w:ind w:left="504"/>
      </w:pPr>
      <w:r>
        <w:rPr>
          <w:b w:val="0"/>
          <w:i/>
        </w:rPr>
        <w:t>Вовлечение почечного тубулоинтерстиция при саркоидозе происходит с формированием типичных саркоидных гранулем, иногда в очень большом количестве.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 саркоидозной природе выявленного у больного гранулематозного тубулоинтерстициального нефрита свидетельствует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эпителиоидноклеточных гранулем с казеозным некрозом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эпителиоидноклеточных гранулем без казеозного некроза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отложений в почке моноклональных иммуноглобулинов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микрокист и расслоенных базальных мембран канальцев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эпителиоидноклеточных гранулем без казеозного некроза</w:t>
      </w:r>
    </w:p>
    <w:p>
      <w:pPr>
        <w:ind w:left="504"/>
      </w:pPr>
      <w:r>
        <w:rPr>
          <w:b w:val="0"/>
          <w:i/>
        </w:rPr>
        <w:t>Поражение почек при саркоидозе встречается у 5-30% пациентов — от субклинической протеинурии до тяжёлого нефротического синдрома, тубулоинтерстициальных нарушений и почечной недостаточности; может быть обусловлено формированием гранулём и неспецифическим воспалительным процессом (нарушения микроциркуляции, отек, васкулит), а также нарушениями электролитного баланса.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Стационарная помощь больным саркоидозом оказывается при необходимости проведения инвазивных диагностических исследований, тяжёлом прогрессирующем течении легочного процесса, а также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угрожающих жизни внелёгочных проявлениях саркоидоза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положительном ответе на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отсутствии при рентгенографии изменений в грудной клетке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неугрожающих жизни внелёгочных проявлениях саркоидоза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угрожающих жизни внелёгочных проявлениях саркоидоза</w:t>
      </w:r>
    </w:p>
    <w:p>
      <w:pPr>
        <w:ind w:left="504"/>
      </w:pPr>
      <w:r>
        <w:rPr>
          <w:b w:val="0"/>
          <w:i/>
        </w:rPr>
        <w:t>Госпитализация больных саркоидозом показана на этапе первичной интенсивной диагностики, для инвазивной диагностики, для интенсивной терапии и оказания неотложной помощи при тяжёлом поражении органов и систем.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проведения лечения 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госпитализация в пульмонологическое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ведение врачом общей практики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нефрологическое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направление на 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госпитализация в нефрологическое отделение</w:t>
      </w:r>
    </w:p>
    <w:p>
      <w:pPr>
        <w:ind w:left="504"/>
      </w:pPr>
      <w:r>
        <w:rPr>
          <w:b w:val="0"/>
          <w:i/>
        </w:rPr>
        <w:t>Основные показания к специализированному нефрологическому стационарному обследованию.</w:t>
        <w:br/>
        <w:br/>
        <w:t>Впервые выявленное снижение СКФ до уровня ниже 30 мл/мин или уровень креатинина крови ≥ 250 мкмоль/л для мужчин и ≥ 200 мкмоль/л для женщин.</w:t>
        <w:br/>
        <w:br/>
      </w:r>
      <w:hyperlink r:id="rId30">
        <w:r>
          <w:rPr>
            <w:color w:val="173C49"/>
            <w:u w:val="single"/>
          </w:rPr>
          <w:t>НАЦИОНАЛЬНЫЕ РЕКОМЕНДАЦИИ Научного общества нефрологов России. ХРОНИЧЕСКАЯ БОЛЕЗНЬ ПОЧЕК: ОСНОВНЫЕ ПРИНЦИПЫ СКРИНИНГА, ДИАГНОСТИКИ, ПРОФИЛАКТИКИ И ПОДХОДЫ К ЛЕЧЕНИЮ, 2012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раздел «Скрининг и мониторинг хронической болезни почек»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Целесообразной лечебной тактикой у данного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начало заместительной почечной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начало приема ингибиторов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 сверхвысоких доз циклофосфана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возобновление приёма 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возобновление приёма кортикостероидов</w:t>
      </w:r>
    </w:p>
    <w:p>
      <w:pPr>
        <w:ind w:left="504"/>
      </w:pPr>
      <w:r>
        <w:rPr>
          <w:b w:val="0"/>
          <w:i/>
        </w:rPr>
        <w:t>Системные глюкокортикостероиды являются препаратами первой линии у больных с прогрессирующим течением болезни по данным рентгенологического и функционального исследования дыхания, при выраженных симптомах или внелёгочных проявлениях, нарушающих функцию органа, или развитии lupus pernio. Риск нежелательных явлений высокий.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Исключение составляют клинические случаи развития ОТИН вследствие диффузных заболеваний соединительной ткани аутоиммунного генеза , а также отсутствие улучшения почечной функции после прекращения воздействия причинных факторов.</w:t>
        <w:br/>
        <w:br/>
      </w:r>
      <w:hyperlink r:id="rId40">
        <w:r>
          <w:rPr>
            <w:color w:val="173C49"/>
            <w:u w:val="single"/>
          </w:rPr>
          <w:t>Клинические рекомендации Ассоциации нефрологов России по диагностике и лечению острого тубулоинтерстициального нефрита, 2015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Более частыми, чем саркоидоз, причинами развития гранулематозного тубулоинтерстициального нефрита,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бензойная кислота, тяжёлые металлы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гиперурикозурия, гиперкальциурия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лекарственные средства,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наследственные митохондриопатии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лекарственные средства, инфекции</w:t>
      </w:r>
    </w:p>
    <w:p>
      <w:pPr>
        <w:ind w:left="504"/>
      </w:pPr>
      <w:r>
        <w:rPr>
          <w:b w:val="0"/>
          <w:i/>
        </w:rPr>
        <w:t>Следует иметь в виду, что само по себе выявление эпителиоидноклеточных гранулём в почках не подтверждает окончательно диагноз саркоидоза, поскольку они могут возникать и при других заболеваниях, например, инфекциях, лекарственной нефропатии, ревматических заболеваниях.</w:t>
        <w:br/>
        <w:br/>
      </w:r>
      <w:hyperlink r:id="rId42">
        <w:r>
          <w:rPr>
            <w:color w:val="173C49"/>
            <w:u w:val="single"/>
          </w:rPr>
          <w:t>Федеральные клинические рекомендации по диагностике и лечению саркоидоза, 2016. Российское респираторное общество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Разделы «Лабораторная диагностика» и «Клинические проявления саркоидоза внелегочной локализации»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Проявления внелёгочного саркоидоза с поражением почек чаще всего представлены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различными вариантами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почечными тромбозами и тромбоэмболиями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кортикальными и медуллярными кистами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нефрокальцинозом, мочекаменной болезнью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нефрокальцинозом, мочекаменной болезнью</w:t>
      </w:r>
    </w:p>
    <w:p>
      <w:pPr>
        <w:ind w:left="504"/>
      </w:pPr>
      <w:r>
        <w:rPr>
          <w:b w:val="0"/>
          <w:i/>
        </w:rPr>
        <w:t>Причиной нефропатии при саркоидозе бывают нарушения обмена кальция, гиперкальциемия и гиперкальциурия. Кальциевый нефролитиаз выявляется у 2–10% больных саркоидозом.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Выявленные у данного больного увеличенные внутригрудные лимфатические узлы и патологические изменения паренхимы лёгких соответствуют +_____+ стадии саркоидоза органов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</w:t>
      </w:r>
    </w:p>
    <w:p>
      <w:pPr>
        <w:ind w:left="504"/>
      </w:pPr>
      <w:r>
        <w:rPr>
          <w:b w:val="0"/>
          <w:i/>
        </w:rPr>
        <w:t>В настоящее время саркоидоз органов дыхания на основании результатов рентгенологического исследования грудной клетки разделяют на пять стадий (от 0 до IV).</w:t>
        <w:br/>
        <w:br/>
        <w:t xml:space="preserve"> a| Стадия a| Рентгенологическая картина a| Частота</w:t>
        <w:br/>
        <w:br/>
        <w:t xml:space="preserve"> a| 0 a| Нет изменений на рентгенограмме органов грудной клетки a| 5%</w:t>
        <w:br/>
        <w:br/>
        <w:t xml:space="preserve"> a| I a| Увеличение внутригрудных лимфатических узлов; паренхима лёгких не изменена a| 50%</w:t>
        <w:br/>
        <w:br/>
        <w:t xml:space="preserve"> a| II a| Увеличение внутригрудных лимфатических узлов и патологические изменения паренхимы лёгких a| 30%</w:t>
        <w:br/>
        <w:br/>
        <w:t xml:space="preserve"> a| III a| Патология лёгочной паренхимы без увеличения внутригрудных лимфатических узлов. a| 15%</w:t>
        <w:br/>
        <w:br/>
        <w:t xml:space="preserve"> a| IV a| Выраженный фиброз лёгких как ведущий рентгенологический синдром. a| 20%</w:t>
        <w:br/>
        <w:br/>
        <w:t>У пациента выявлена II стадия саркоидоза органов дыхания.</w:t>
        <w:br/>
        <w:br/>
      </w:r>
      <w:hyperlink r:id="rId24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Саркоидоз, 2019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7h56ld#paragraph_7h56ld" TargetMode="External"/><Relationship Id="rId24" Type="http://schemas.openxmlformats.org/officeDocument/2006/relationships/hyperlink" Target="https://library.mededtech.ru/rest/documents/KP1/" TargetMode="External"/><Relationship Id="rId25" Type="http://schemas.openxmlformats.org/officeDocument/2006/relationships/hyperlink" Target="https://library.mededtech.ru/rest/documents/KP1/#paragraph_hd565j" TargetMode="External"/><Relationship Id="rId26" Type="http://schemas.openxmlformats.org/officeDocument/2006/relationships/hyperlink" Target="https://library.mededtech.ru/rest/documents/ISBN9785970411742/?anchor=paragraph_4u288b#paragraph_4u288b" TargetMode="External"/><Relationship Id="rId27" Type="http://schemas.openxmlformats.org/officeDocument/2006/relationships/hyperlink" Target="https://library.mededtech.ru/rest/documents/KP1/#paragraph_d6sd3n" TargetMode="External"/><Relationship Id="rId28" Type="http://schemas.openxmlformats.org/officeDocument/2006/relationships/hyperlink" Target="https://library.mededtech.ru/rest/documents/ISBN9785970411742/?anchor=paragraph_rn28l7#paragraph_rn28l7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nonr_1/" TargetMode="External"/><Relationship Id="rId31" Type="http://schemas.openxmlformats.org/officeDocument/2006/relationships/hyperlink" Target="https://library.mededtech.ru/rest/documents/nonr_1/#link1" TargetMode="External"/><Relationship Id="rId32" Type="http://schemas.openxmlformats.org/officeDocument/2006/relationships/hyperlink" Target="https://library.mededtech.ru/rest/documents/ISBN9785970437889/?anchor=paragraph_e2jl8b#paragraph_e2jl8b" TargetMode="External"/><Relationship Id="rId33" Type="http://schemas.openxmlformats.org/officeDocument/2006/relationships/hyperlink" Target="https://library.mededtech.ru/rest/documents/ISBN9785970437889/?anchor=paragraph_32veui#paragraph_32veui" TargetMode="External"/><Relationship Id="rId34" Type="http://schemas.openxmlformats.org/officeDocument/2006/relationships/hyperlink" Target="https://library.mededtech.ru/rest/documents/ISBN9785970411742/?anchor=paragraph_4hq4am#paragraph_4hq4am" TargetMode="External"/><Relationship Id="rId35" Type="http://schemas.openxmlformats.org/officeDocument/2006/relationships/hyperlink" Target="https://library.mededtech.ru/rest/documents/ISBN9785970437889/?anchor=paragraph_nvu3ga#paragraph_nvu3ga" TargetMode="External"/><Relationship Id="rId36" Type="http://schemas.openxmlformats.org/officeDocument/2006/relationships/hyperlink" Target="https://library.mededtech.ru/rest/documents/KP1/#paragraph_oln31d" TargetMode="External"/><Relationship Id="rId37" Type="http://schemas.openxmlformats.org/officeDocument/2006/relationships/hyperlink" Target="https://library.mededtech.ru/rest/documents/KP1/#paragraph_dhpql9" TargetMode="External"/><Relationship Id="rId38" Type="http://schemas.openxmlformats.org/officeDocument/2006/relationships/hyperlink" Target="https://library.mededtech.ru/rest/documents/nonr_1/#list_item_81udp" TargetMode="External"/><Relationship Id="rId39" Type="http://schemas.openxmlformats.org/officeDocument/2006/relationships/hyperlink" Target="https://library.mededtech.ru/rest/documents/KP1/#paragraph_4l8sic" TargetMode="External"/><Relationship Id="rId40" Type="http://schemas.openxmlformats.org/officeDocument/2006/relationships/hyperlink" Target="https://library.mededtech.ru/rest/documents/nonr_9/" TargetMode="External"/><Relationship Id="rId41" Type="http://schemas.openxmlformats.org/officeDocument/2006/relationships/hyperlink" Target="https://library.mededtech.ru/rest/documents/nonr_9/#paragraph_j6hcv" TargetMode="External"/><Relationship Id="rId42" Type="http://schemas.openxmlformats.org/officeDocument/2006/relationships/hyperlink" Target="https://library.mededtech.ru/rest/documents/sarkoidoz/" TargetMode="External"/><Relationship Id="rId43" Type="http://schemas.openxmlformats.org/officeDocument/2006/relationships/hyperlink" Target="https://library.mededtech.ru/rest/documents/sarkoidoz/#paragraph_pd5hf" TargetMode="External"/><Relationship Id="rId44" Type="http://schemas.openxmlformats.org/officeDocument/2006/relationships/hyperlink" Target="https://library.mededtech.ru/rest/documents/KP1/#table_5e0im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